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sz w:val="28"/>
          <w:szCs w:val="28"/>
        </w:rPr>
      </w:pPr>
      <w:bookmarkStart w:colFirst="0" w:colLast="0" w:name="_heading=h.gjdgxs" w:id="0"/>
      <w:bookmarkEnd w:id="0"/>
      <w:r w:rsidDel="00000000" w:rsidR="00000000" w:rsidRPr="00000000">
        <w:rPr>
          <w:sz w:val="28"/>
          <w:szCs w:val="28"/>
          <w:rtl w:val="0"/>
        </w:rPr>
        <w:t xml:space="preserve">Fact sheet 2j:</w:t>
      </w:r>
    </w:p>
    <w:p w:rsidR="00000000" w:rsidDel="00000000" w:rsidP="00000000" w:rsidRDefault="00000000" w:rsidRPr="00000000" w14:paraId="00000002">
      <w:pPr>
        <w:tabs>
          <w:tab w:val="left" w:leader="none" w:pos="426"/>
        </w:tabs>
        <w:spacing w:after="0" w:line="240" w:lineRule="auto"/>
        <w:jc w:val="center"/>
        <w:rPr>
          <w:color w:val="262626"/>
          <w:sz w:val="28"/>
          <w:szCs w:val="28"/>
        </w:rPr>
      </w:pPr>
      <w:r w:rsidDel="00000000" w:rsidR="00000000" w:rsidRPr="00000000">
        <w:rPr>
          <w:color w:val="262626"/>
          <w:sz w:val="28"/>
          <w:szCs w:val="28"/>
          <w:rtl w:val="0"/>
        </w:rPr>
        <w:t xml:space="preserve">Data Protection – compliance with GDPR legislation</w:t>
      </w:r>
    </w:p>
    <w:p w:rsidR="00000000" w:rsidDel="00000000" w:rsidP="00000000" w:rsidRDefault="00000000" w:rsidRPr="00000000" w14:paraId="00000003">
      <w:pPr>
        <w:tabs>
          <w:tab w:val="left" w:leader="none" w:pos="426"/>
        </w:tabs>
        <w:spacing w:after="0" w:line="240" w:lineRule="auto"/>
        <w:jc w:val="center"/>
        <w:rPr>
          <w:color w:val="262626"/>
        </w:rPr>
      </w:pPr>
      <w:r w:rsidDel="00000000" w:rsidR="00000000" w:rsidRPr="00000000">
        <w:rPr>
          <w:rtl w:val="0"/>
        </w:rPr>
      </w:r>
    </w:p>
    <w:p w:rsidR="00000000" w:rsidDel="00000000" w:rsidP="00000000" w:rsidRDefault="00000000" w:rsidRPr="00000000" w14:paraId="00000004">
      <w:pPr>
        <w:spacing w:after="120" w:lineRule="auto"/>
        <w:jc w:val="both"/>
        <w:rPr>
          <w:b w:val="0"/>
        </w:rPr>
      </w:pPr>
      <w:r w:rsidDel="00000000" w:rsidR="00000000" w:rsidRPr="00000000">
        <w:rPr>
          <w:b w:val="0"/>
          <w:rtl w:val="0"/>
        </w:rPr>
        <w:t xml:space="preserve">Data protection law applies in two ways when engaging volunteers:</w:t>
      </w:r>
    </w:p>
    <w:p w:rsidR="00000000" w:rsidDel="00000000" w:rsidP="00000000" w:rsidRDefault="00000000" w:rsidRPr="00000000" w14:paraId="00000005">
      <w:pPr>
        <w:numPr>
          <w:ilvl w:val="0"/>
          <w:numId w:val="1"/>
        </w:numPr>
        <w:spacing w:after="0" w:lineRule="auto"/>
        <w:ind w:left="714" w:hanging="357"/>
        <w:jc w:val="both"/>
        <w:rPr>
          <w:b w:val="0"/>
        </w:rPr>
      </w:pPr>
      <w:r w:rsidDel="00000000" w:rsidR="00000000" w:rsidRPr="00000000">
        <w:rPr>
          <w:b w:val="0"/>
          <w:rtl w:val="0"/>
        </w:rPr>
        <w:t xml:space="preserve">Management and storage of volunteer registration forms, character references and other forms of personal information about volunteers </w:t>
      </w:r>
    </w:p>
    <w:p w:rsidR="00000000" w:rsidDel="00000000" w:rsidP="00000000" w:rsidRDefault="00000000" w:rsidRPr="00000000" w14:paraId="00000006">
      <w:pPr>
        <w:numPr>
          <w:ilvl w:val="0"/>
          <w:numId w:val="1"/>
        </w:numPr>
        <w:spacing w:after="120" w:lineRule="auto"/>
        <w:ind w:left="714" w:hanging="357"/>
        <w:jc w:val="both"/>
        <w:rPr>
          <w:b w:val="0"/>
        </w:rPr>
      </w:pPr>
      <w:r w:rsidDel="00000000" w:rsidR="00000000" w:rsidRPr="00000000">
        <w:rPr>
          <w:b w:val="0"/>
          <w:rtl w:val="0"/>
        </w:rPr>
        <w:t xml:space="preserve">Volunteer roles that involve working with confidential/sensitive information.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Management and storage of personal information</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legislation came into force on 25</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May 2018 that affects volunteer involving   organisations.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Where to go for good information, advice and guidance: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NCVO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offers a range of information on their website including sample policies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a GDPR webinar video: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firstLine="0"/>
        <w:jc w:val="both"/>
        <w:rPr>
          <w:rFonts w:ascii="Arial" w:cs="Arial" w:eastAsia="Arial" w:hAnsi="Arial"/>
          <w:b w:val="0"/>
          <w:i w:val="0"/>
          <w:smallCaps w:val="0"/>
          <w:strike w:val="0"/>
          <w:color w:val="6e2e9f"/>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6f2f9f"/>
          <w:sz w:val="24"/>
          <w:szCs w:val="24"/>
          <w:u w:val="none"/>
          <w:shd w:fill="auto" w:val="clear"/>
          <w:vertAlign w:val="baseline"/>
          <w:rtl w:val="0"/>
        </w:rPr>
        <w:t xml:space="preserve">🖰 </w:t>
      </w:r>
      <w:hyperlink r:id="rId7">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NCVO website: how to comply with GDPR</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6e2e9f"/>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Information Commissioner’s Office (ICO)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website has comprehensive information: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firstLine="0"/>
        <w:jc w:val="both"/>
        <w:rPr>
          <w:rFonts w:ascii="Arial" w:cs="Arial" w:eastAsia="Arial" w:hAnsi="Arial"/>
          <w:b w:val="0"/>
          <w:i w:val="0"/>
          <w:smallCaps w:val="0"/>
          <w:strike w:val="0"/>
          <w:color w:val="6e2e9f"/>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6f2f9f"/>
          <w:sz w:val="24"/>
          <w:szCs w:val="24"/>
          <w:u w:val="none"/>
          <w:shd w:fill="auto" w:val="clear"/>
          <w:vertAlign w:val="baseline"/>
          <w:rtl w:val="0"/>
        </w:rPr>
        <w:t xml:space="preserve">🖰 </w:t>
      </w:r>
      <w:hyperlink r:id="rId8">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Guide to the General Data Protection Legislation (GDPR)</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For examples of Privacy Policy statements: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firstLine="0"/>
        <w:jc w:val="both"/>
        <w:rPr>
          <w:rFonts w:ascii="Arial" w:cs="Arial" w:eastAsia="Arial" w:hAnsi="Arial"/>
          <w:b w:val="0"/>
          <w:i w:val="0"/>
          <w:smallCaps w:val="0"/>
          <w:strike w:val="0"/>
          <w:color w:val="6e2e9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6f2f9f"/>
          <w:sz w:val="24"/>
          <w:szCs w:val="24"/>
          <w:u w:val="none"/>
          <w:shd w:fill="auto" w:val="clear"/>
          <w:vertAlign w:val="baseline"/>
          <w:rtl w:val="0"/>
        </w:rPr>
        <w:t xml:space="preserve">🖰 </w:t>
      </w:r>
      <w:hyperlink r:id="rId9">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Warwickshire CAVA's Privacy Notice</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firstLine="0"/>
        <w:jc w:val="both"/>
        <w:rPr>
          <w:rFonts w:ascii="Arial" w:cs="Arial" w:eastAsia="Arial" w:hAnsi="Arial"/>
          <w:b w:val="0"/>
          <w:i w:val="0"/>
          <w:smallCaps w:val="0"/>
          <w:strike w:val="0"/>
          <w:color w:val="6e2e9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6f2f9f"/>
          <w:sz w:val="24"/>
          <w:szCs w:val="24"/>
          <w:u w:val="none"/>
          <w:shd w:fill="auto" w:val="clear"/>
          <w:vertAlign w:val="baseline"/>
          <w:rtl w:val="0"/>
        </w:rPr>
        <w:t xml:space="preserve">🖰 </w:t>
      </w:r>
      <w:hyperlink r:id="rId10">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Volunteer Connect Privacy Notice</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What to put in your volunteering registration form: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firstLine="0"/>
        <w:jc w:val="both"/>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6f2f9f"/>
          <w:sz w:val="24"/>
          <w:szCs w:val="24"/>
          <w:u w:val="none"/>
          <w:shd w:fill="auto" w:val="clear"/>
          <w:vertAlign w:val="baseline"/>
          <w:rtl w:val="0"/>
        </w:rPr>
        <w:t xml:space="preserve">🖰 </w:t>
      </w:r>
      <w:hyperlink r:id="rId11">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Sample volunteering registration form</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6e2e9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Volunteers who view confidential information as part of their role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Volunteers who may come into contact with confidential information during their volunteering role should comply with the spirit of the organisation’s data protection and confidentiality policies. During the volunteer’s induction, provide them with a summary of the practices to which they must adhere for reference. Ask them to sign an agreement to demonstrate their intent to follow the policies.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426" w:right="0" w:firstLine="0"/>
        <w:jc w:val="both"/>
        <w:rPr>
          <w:rFonts w:ascii="Arial" w:cs="Arial" w:eastAsia="Arial" w:hAnsi="Arial"/>
          <w:b w:val="0"/>
          <w:i w:val="0"/>
          <w:smallCaps w:val="0"/>
          <w:strike w:val="0"/>
          <w:color w:val="6e2e9f"/>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6f2f9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6e2e9f"/>
          <w:sz w:val="24"/>
          <w:szCs w:val="24"/>
          <w:u w:val="none"/>
          <w:shd w:fill="auto" w:val="clear"/>
          <w:vertAlign w:val="baseline"/>
          <w:rtl w:val="0"/>
        </w:rPr>
        <w:t xml:space="preserve">Sample confidentiality and data protection agreement for volunteers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6e2e9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6e2e9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6e2e9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6e2e9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6e2e9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1"/>
        <w:keepLines w:val="1"/>
        <w:spacing w:after="0" w:lineRule="auto"/>
        <w:jc w:val="both"/>
        <w:rPr>
          <w:sz w:val="20"/>
          <w:szCs w:val="20"/>
        </w:rPr>
      </w:pPr>
      <w:r w:rsidDel="00000000" w:rsidR="00000000" w:rsidRPr="00000000">
        <w:rPr>
          <w:sz w:val="20"/>
          <w:szCs w:val="20"/>
          <w:rtl w:val="0"/>
        </w:rPr>
        <w:t xml:space="preserve">DISCLAIMER</w:t>
      </w:r>
    </w:p>
    <w:p w:rsidR="00000000" w:rsidDel="00000000" w:rsidP="00000000" w:rsidRDefault="00000000" w:rsidRPr="00000000" w14:paraId="00000024">
      <w:pPr>
        <w:spacing w:after="0" w:lineRule="auto"/>
        <w:jc w:val="both"/>
        <w:rPr>
          <w:b w:val="0"/>
          <w:sz w:val="20"/>
          <w:szCs w:val="20"/>
        </w:rPr>
      </w:pPr>
      <w:r w:rsidDel="00000000" w:rsidR="00000000" w:rsidRPr="00000000">
        <w:rPr>
          <w:b w:val="0"/>
          <w:sz w:val="20"/>
          <w:szCs w:val="20"/>
          <w:rtl w:val="0"/>
        </w:rPr>
        <w:t xml:space="preserve">Although every effort has been made to verify the accuracy of materials in CAVA's resource</w:t>
      </w:r>
    </w:p>
    <w:p w:rsidR="00000000" w:rsidDel="00000000" w:rsidP="00000000" w:rsidRDefault="00000000" w:rsidRPr="00000000" w14:paraId="00000025">
      <w:pPr>
        <w:spacing w:after="0" w:lineRule="auto"/>
        <w:jc w:val="both"/>
        <w:rPr>
          <w:b w:val="0"/>
          <w:color w:val="6e2e9f"/>
        </w:rPr>
      </w:pPr>
      <w:r w:rsidDel="00000000" w:rsidR="00000000" w:rsidRPr="00000000">
        <w:rPr>
          <w:b w:val="0"/>
          <w:sz w:val="20"/>
          <w:szCs w:val="20"/>
          <w:rtl w:val="0"/>
        </w:rPr>
        <w:t xml:space="preserve">library, users are advised to check independently on matters of specific interest.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6e2e9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6e2e9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spacing w:after="0" w:lineRule="auto"/>
        <w:jc w:val="both"/>
        <w:rPr>
          <w:b w:val="0"/>
        </w:rPr>
      </w:pPr>
      <w:r w:rsidDel="00000000" w:rsidR="00000000" w:rsidRPr="00000000">
        <w:rPr>
          <w:rtl w:val="0"/>
        </w:rPr>
      </w:r>
    </w:p>
    <w:sectPr>
      <w:headerReference r:id="rId12" w:type="default"/>
      <w:headerReference r:id="rId13" w:type="first"/>
      <w:footerReference r:id="rId14" w:type="default"/>
      <w:footerReference r:id="rId15" w:type="first"/>
      <w:pgSz w:h="16840" w:w="11900" w:orient="portrait"/>
      <w:pgMar w:bottom="1440" w:top="651" w:left="1440" w:right="1268" w:header="720" w:footer="167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2833688" cy="735002"/>
          <wp:effectExtent b="0" l="0" r="0" t="0"/>
          <wp:wrapNone/>
          <wp:docPr id="22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833688" cy="735002"/>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854699" cy="827405"/>
              <wp:effectExtent b="0" l="0" r="0" t="0"/>
              <wp:wrapNone/>
              <wp:docPr id="221" name=""/>
              <a:graphic>
                <a:graphicData uri="http://schemas.microsoft.com/office/word/2010/wordprocessingGroup">
                  <wpg:wgp>
                    <wpg:cNvGrpSpPr/>
                    <wpg:grpSpPr>
                      <a:xfrm>
                        <a:off x="2418650" y="3366125"/>
                        <a:ext cx="5854699" cy="827405"/>
                        <a:chOff x="2418650" y="3366125"/>
                        <a:chExt cx="5854700" cy="853425"/>
                      </a:xfrm>
                    </wpg:grpSpPr>
                    <wpg:grpSp>
                      <wpg:cNvGrpSpPr/>
                      <wpg:grpSpPr>
                        <a:xfrm>
                          <a:off x="2418651" y="3366298"/>
                          <a:ext cx="5854699" cy="827405"/>
                          <a:chOff x="2418650" y="3361525"/>
                          <a:chExt cx="5854700" cy="859500"/>
                        </a:xfrm>
                      </wpg:grpSpPr>
                      <wps:wsp>
                        <wps:cNvSpPr/>
                        <wps:cNvPr id="3" name="Shape 3"/>
                        <wps:spPr>
                          <a:xfrm>
                            <a:off x="2418650" y="3361525"/>
                            <a:ext cx="5854700" cy="859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18651" y="3366298"/>
                            <a:ext cx="5854699" cy="827405"/>
                            <a:chOff x="0" y="0"/>
                            <a:chExt cx="5854699" cy="827405"/>
                          </a:xfrm>
                        </wpg:grpSpPr>
                        <wps:wsp>
                          <wps:cNvSpPr/>
                          <wps:cNvPr id="5" name="Shape 5"/>
                          <wps:spPr>
                            <a:xfrm>
                              <a:off x="0" y="0"/>
                              <a:ext cx="5854675" cy="82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61925"/>
                              <a:ext cx="5854699" cy="665480"/>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Volunteering and the Law      Fact sheet 2j: Data Protection and GDPR legislation</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www.wcava.org.uk/resource-library/volunteering-and-law</w:t>
                                </w:r>
                                <w:r w:rsidDel="00000000" w:rsidR="00000000" w:rsidRPr="00000000">
                                  <w:rPr>
                                    <w:rFonts w:ascii="Arial" w:cs="Arial" w:eastAsia="Arial" w:hAnsi="Arial"/>
                                    <w:b w:val="0"/>
                                    <w:i w:val="0"/>
                                    <w:smallCaps w:val="0"/>
                                    <w:strike w:val="0"/>
                                    <w:color w:val="7030a0"/>
                                    <w:sz w:val="28"/>
                                    <w:vertAlign w:val="baseline"/>
                                  </w:rPr>
                                  <w:t xml:space="preserve">		</w:t>
                                </w:r>
                              </w:p>
                            </w:txbxContent>
                          </wps:txbx>
                          <wps:bodyPr anchorCtr="0" anchor="t" bIns="0" lIns="0" spcFirstLastPara="1" rIns="0" wrap="square" tIns="0">
                            <a:noAutofit/>
                          </wps:bodyPr>
                        </wps:wsp>
                        <wps:wsp>
                          <wps:cNvCnPr/>
                          <wps:spPr>
                            <a:xfrm>
                              <a:off x="0" y="0"/>
                              <a:ext cx="574376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854699" cy="827405"/>
              <wp:effectExtent b="0" l="0" r="0" t="0"/>
              <wp:wrapNone/>
              <wp:docPr id="22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54699" cy="82740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1"/>
      <w:keepLines w:val="1"/>
      <w:jc w:val="right"/>
      <w:rPr>
        <w:sz w:val="2"/>
        <w:szCs w:val="2"/>
      </w:rPr>
    </w:pPr>
    <w:r w:rsidDel="00000000" w:rsidR="00000000" w:rsidRPr="00000000">
      <w:rPr>
        <w:i w:val="1"/>
      </w:rPr>
      <w:drawing>
        <wp:anchor allowOverlap="1" behindDoc="0" distB="0" distT="0" distL="114300" distR="114300" hidden="0" layoutInCell="1" locked="0" relativeHeight="0" simplePos="0">
          <wp:simplePos x="0" y="0"/>
          <wp:positionH relativeFrom="margin">
            <wp:posOffset>-30922</wp:posOffset>
          </wp:positionH>
          <wp:positionV relativeFrom="page">
            <wp:posOffset>518160</wp:posOffset>
          </wp:positionV>
          <wp:extent cx="1817370" cy="859790"/>
          <wp:effectExtent b="0" l="0" r="0" t="0"/>
          <wp:wrapSquare wrapText="bothSides" distB="0" distT="0" distL="114300" distR="114300"/>
          <wp:docPr id="223" name="image4.jpg"/>
          <a:graphic>
            <a:graphicData uri="http://schemas.openxmlformats.org/drawingml/2006/picture">
              <pic:pic>
                <pic:nvPicPr>
                  <pic:cNvPr id="0" name="image4.jpg"/>
                  <pic:cNvPicPr preferRelativeResize="0"/>
                </pic:nvPicPr>
                <pic:blipFill>
                  <a:blip r:embed="rId1"/>
                  <a:srcRect b="2031" l="0" r="0" t="2031"/>
                  <a:stretch>
                    <a:fillRect/>
                  </a:stretch>
                </pic:blipFill>
                <pic:spPr>
                  <a:xfrm>
                    <a:off x="0" y="0"/>
                    <a:ext cx="1817370" cy="859790"/>
                  </a:xfrm>
                  <a:prstGeom prst="rect"/>
                  <a:ln/>
                </pic:spPr>
              </pic:pic>
            </a:graphicData>
          </a:graphic>
        </wp:anchor>
      </w:drawing>
    </w:r>
    <w:r w:rsidDel="00000000" w:rsidR="00000000" w:rsidRPr="00000000">
      <w:rPr>
        <w:rtl w:val="0"/>
      </w:rPr>
    </w:r>
  </w:p>
  <w:p w:rsidR="00000000" w:rsidDel="00000000" w:rsidP="00000000" w:rsidRDefault="00000000" w:rsidRPr="00000000" w14:paraId="0000002A">
    <w:pPr>
      <w:pStyle w:val="Heading1"/>
      <w:tabs>
        <w:tab w:val="left" w:leader="none" w:pos="2977"/>
        <w:tab w:val="left" w:leader="none" w:pos="3402"/>
        <w:tab w:val="left" w:leader="none" w:pos="2977"/>
        <w:tab w:val="left" w:leader="none" w:pos="3402"/>
      </w:tabs>
      <w:spacing w:after="320" w:before="120" w:lineRule="auto"/>
      <w:ind w:left="0" w:right="-23" w:firstLine="0"/>
      <w:rPr>
        <w:color w:val="000000"/>
        <w:u w:val="none"/>
      </w:rPr>
    </w:pPr>
    <w:r w:rsidDel="00000000" w:rsidR="00000000" w:rsidRPr="00000000">
      <w:rPr>
        <w:rtl w:val="0"/>
      </w:rPr>
      <w:t xml:space="preserve">Volunteering and the Law</w:t>
    </w:r>
    <w:r w:rsidDel="00000000" w:rsidR="00000000" w:rsidRPr="00000000">
      <w:rPr>
        <w:rtl w:val="0"/>
      </w:rPr>
    </w:r>
  </w:p>
  <w:p w:rsidR="00000000" w:rsidDel="00000000" w:rsidP="00000000" w:rsidRDefault="00000000" w:rsidRPr="00000000" w14:paraId="0000002B">
    <w:pPr>
      <w:tabs>
        <w:tab w:val="left" w:leader="none" w:pos="1950"/>
      </w:tabs>
      <w:spacing w:after="60" w:lineRule="auto"/>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2C">
    <w:pPr>
      <w:tabs>
        <w:tab w:val="left" w:leader="none" w:pos="1950"/>
      </w:tabs>
      <w:spacing w:after="360" w:lineRule="auto"/>
      <w:jc w:val="right"/>
      <w:rPr>
        <w:rFonts w:ascii="Arial" w:cs="Arial" w:eastAsia="Arial" w:hAnsi="Arial"/>
        <w:b w:val="1"/>
        <w:i w:val="0"/>
        <w:smallCaps w:val="0"/>
        <w:strike w:val="0"/>
        <w:color w:val="000000"/>
        <w:sz w:val="24"/>
        <w:szCs w:val="24"/>
        <w:u w:val="none"/>
        <w:shd w:fill="auto" w:val="clear"/>
        <w:vertAlign w:val="baseline"/>
      </w:rPr>
    </w:pPr>
    <w:hyperlink r:id="rId2">
      <w:r w:rsidDel="00000000" w:rsidR="00000000" w:rsidRPr="00000000">
        <w:rPr>
          <w:b w:val="0"/>
          <w:color w:val="7030a0"/>
          <w:sz w:val="20"/>
          <w:szCs w:val="20"/>
          <w:u w:val="none"/>
          <w:rtl w:val="0"/>
        </w:rPr>
        <w:t xml:space="preserve">www.wcava.org.uk/resource-library</w:t>
      </w:r>
    </w:hyperlink>
    <w:r w:rsidDel="00000000" w:rsidR="00000000" w:rsidRPr="00000000">
      <w:rPr>
        <w:b w:val="0"/>
        <w:color w:val="7030a0"/>
        <w:sz w:val="20"/>
        <w:szCs w:val="20"/>
        <w:u w:val="none"/>
        <w:rtl w:val="0"/>
      </w:rPr>
      <w:t xml:space="preserve">/volunteering-and-law </w:t>
    </w:r>
    <w:r w:rsidDel="00000000" w:rsidR="00000000" w:rsidRPr="00000000">
      <w:rPr>
        <w:color w:val="000000"/>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222"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22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F7348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semiHidden w:val="1"/>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semiHidden w:val="1"/>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after="120"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2A1306"/>
    <w:rPr>
      <w:rFonts w:ascii="Arial" w:cs="Arial" w:hAnsi="Arial"/>
    </w:rPr>
  </w:style>
  <w:style w:type="character" w:styleId="Arial12NormalChar" w:customStyle="1">
    <w:name w:val="Arial 12 Normal Char"/>
    <w:basedOn w:val="Roboto12NormalChar"/>
    <w:link w:val="Arial12Normal"/>
    <w:rsid w:val="002A1306"/>
    <w:rPr>
      <w:rFonts w:ascii="Arial" w:cs="Arial" w:hAnsi="Arial"/>
      <w:sz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table" w:styleId="TableGrid1" w:customStyle="1">
    <w:name w:val="Table Grid1"/>
    <w:basedOn w:val="TableNormal"/>
    <w:next w:val="TableGrid"/>
    <w:uiPriority w:val="59"/>
    <w:rsid w:val="00373452"/>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2974DC"/>
    <w:pPr>
      <w:spacing w:after="100" w:afterAutospacing="1" w:before="100" w:beforeAutospacing="1" w:line="240" w:lineRule="auto"/>
    </w:pPr>
    <w:rPr>
      <w:rFonts w:ascii="Times New Roman" w:cs="Times New Roman" w:eastAsia="Times New Roman" w:hAnsi="Times New Roman"/>
      <w:b w:val="0"/>
      <w:szCs w:val="24"/>
      <w:lang w:eastAsia="en-GB"/>
    </w:rPr>
  </w:style>
  <w:style w:type="paragraph" w:styleId="BodyText">
    <w:name w:val="Body Text"/>
    <w:basedOn w:val="Normal"/>
    <w:link w:val="BodyTextChar"/>
    <w:uiPriority w:val="1"/>
    <w:qFormat w:val="1"/>
    <w:rsid w:val="000F1354"/>
    <w:pPr>
      <w:widowControl w:val="0"/>
      <w:spacing w:after="0" w:line="240" w:lineRule="auto"/>
      <w:ind w:left="2160" w:hanging="360"/>
    </w:pPr>
    <w:rPr>
      <w:rFonts w:eastAsia="Arial"/>
      <w:b w:val="0"/>
      <w:szCs w:val="24"/>
      <w:lang w:val="en-US"/>
    </w:rPr>
  </w:style>
  <w:style w:type="character" w:styleId="BodyTextChar" w:customStyle="1">
    <w:name w:val="Body Text Char"/>
    <w:basedOn w:val="DefaultParagraphFont"/>
    <w:link w:val="BodyText"/>
    <w:uiPriority w:val="1"/>
    <w:rsid w:val="000F1354"/>
    <w:rPr>
      <w:rFonts w:ascii="Arial" w:eastAsia="Arial" w:hAnsi="Arial"/>
      <w:sz w:val="24"/>
      <w:szCs w:val="24"/>
      <w:lang w:val="en-US"/>
    </w:rPr>
  </w:style>
  <w:style w:type="paragraph" w:styleId="Subtitle">
    <w:name w:val="Subtitle"/>
    <w:basedOn w:val="Normal"/>
    <w:next w:val="Normal"/>
    <w:pPr>
      <w:spacing w:after="0" w:line="240" w:lineRule="auto"/>
      <w:ind w:right="-9"/>
    </w:pPr>
    <w:rPr>
      <w:i w:val="1"/>
      <w:color w:val="404040"/>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right="-9"/>
    </w:pPr>
    <w:rPr>
      <w:i w:val="1"/>
      <w:color w:val="404040"/>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0BxM5UHfVB7YWVU90QkpjZTkwUEE" TargetMode="External"/><Relationship Id="rId10" Type="http://schemas.openxmlformats.org/officeDocument/2006/relationships/hyperlink" Target="http://www.wcava.org.uk/sites/www.wcava.org.uk/files/volunteers_privacy_notice_april_2019.pdf"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cava.org.uk/privacy-policy"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knowhownonprofit.org/how-to/how-to-prepare-for-gdpr-and-data-protection-reform" TargetMode="External"/><Relationship Id="rId8" Type="http://schemas.openxmlformats.org/officeDocument/2006/relationships/hyperlink" Target="https://ico.org.uk/for-organisations/guide-to-data-protection/guide-to-the-general-data-protection-regulation-gdp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hyperlink" Target="http://www.wcava.org.uk/resource-library/strategic-planning-volunteer-involvement" TargetMode="External"/><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kZNh9XTZ34f14J9XzZeIVGjHLw==">AMUW2mXIIqy384j9R1ur/M1Yf/P3gaHLpGBgj0r6vysSlzLVHJxyLomJfHUsCe1AJB5dM9i5Ixkse5RWG9UgXKjw/RHe2nGw4L1XpGliJBh8VbELJerLWatwScvUt4uUySY5hK3H3rsR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2017-07-26T16:14:00Z</dcterms:created>
  <dc:creator>Sam Elvyhart</dc:creator>
</cp:coreProperties>
</file>